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 w:themeColor="text1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36"/>
          <w:szCs w:val="36"/>
          <w:lang w:eastAsia="ru-RU"/>
        </w:rPr>
        <w:t>Саратовская межрайонная природоохранная прокуратура разъясняет изменения, в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color w:val="000000" w:themeColor="text1"/>
          <w:sz w:val="36"/>
          <w:szCs w:val="36"/>
          <w:lang w:eastAsia="ru-RU"/>
        </w:rPr>
        <w:t>несенные в законодательство о рыболовстве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Федеральным законом от 24.06.2025 N 165-ФЗ внесены изменения в Федеральный закон «О рыболовстве и сохранении водных биологических ресурсов» и отдельные законодательные акты Российской Федерации».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Согласно закону юридические лица и индивидуальные предприниматели, которым предоставлено право на добычу (вылов) водных биоресурсов на основании договора пользования рыболовным участком, действующего по состоянию на 1 сентября 2025 года, имеют право до 1 июня 2026 года заключить новый договор, срок действия которого будет включать срок оставшейся части действия прежнего договора и двадцатилетний срок, предусмотренный для осуществления добычи (вылова) анадромных видов рыб.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таком случае плата за заключение нового договора пользования рыболовным участком для осуществления промышленного рыболовства и организации любительского рыболовства взимается за двадцать лет.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Также уточнен механизм одностороннего расторжения договоров пользования рыболовным участком в случае невнесения платы за заключение договора.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Законом введена обязанность органа государственной власти, заключившего договор, направить пользователю уведомление о необходимости внесения платы в десятидневный срок.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Roboto" w:hAnsi="Roboto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противном случае по истечении указанного срока договор будет расторгнут в одностороннем порядке, о чем пользователю будет направлено соответствующее уведомление.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Robo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eedspagenavigationtooltip" w:customStyle="1">
    <w:name w:val="feeds-page__navigation_tooltip"/>
    <w:basedOn w:val="DefaultParagraphFont"/>
    <w:qFormat/>
    <w:rsid w:val="0075493d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7549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LibreOffice/7.2.4.1$Linux_X86_64 LibreOffice_project/20$Build-1</Application>
  <AppVersion>15.0000</AppVersion>
  <Pages>1</Pages>
  <Words>197</Words>
  <Characters>1286</Characters>
  <CharactersWithSpaces>1452</CharactersWithSpaces>
  <Paragraphs>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2025-11-05T12:53:00Z</dcterms:created>
  <dc:creator>Admin</dc:creator>
  <dc:description/>
  <dc:language>ru-RU</dc:language>
  <cp:lastModifiedBy>Admin</cp:lastModifiedBy>
  <dcterms:modified xsi:type="dcterms:W3CDTF">2025-11-05T12:53:00Z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